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051AF" w:rsidRPr="006F77F4" w:rsidRDefault="002051AF" w:rsidP="007768E9">
      <w:pPr>
        <w:adjustRightInd w:val="0"/>
        <w:snapToGrid w:val="0"/>
        <w:ind w:firstLine="720"/>
        <w:rPr>
          <w:rFonts w:cs="Arial"/>
          <w:color w:val="000000" w:themeColor="text1"/>
          <w:szCs w:val="20"/>
        </w:rPr>
      </w:pPr>
      <w:r w:rsidRPr="006F77F4">
        <w:rPr>
          <w:rFonts w:cs="Arial"/>
          <w:b/>
          <w:color w:val="000000" w:themeColor="text1"/>
          <w:szCs w:val="20"/>
        </w:rPr>
        <w:t>Mẫu số 02. Báo cáo đánh giá an toàn (Sản xuất, chế biến chất phóng xạ)</w:t>
      </w:r>
    </w:p>
    <w:p w:rsidR="002051AF" w:rsidRPr="006F77F4" w:rsidRDefault="002051AF" w:rsidP="006F77F4">
      <w:pPr>
        <w:jc w:val="center"/>
        <w:rPr>
          <w:rFonts w:cs="Arial"/>
          <w:b/>
          <w:color w:val="000000" w:themeColor="text1"/>
          <w:szCs w:val="20"/>
          <w:lang w:val="en-US"/>
        </w:rPr>
      </w:pPr>
    </w:p>
    <w:p w:rsidR="002051AF" w:rsidRPr="006F77F4" w:rsidRDefault="002051AF" w:rsidP="006F77F4">
      <w:pPr>
        <w:jc w:val="center"/>
        <w:rPr>
          <w:rFonts w:cs="Arial"/>
          <w:b/>
          <w:color w:val="000000" w:themeColor="text1"/>
          <w:szCs w:val="20"/>
          <w:lang w:val="en-US"/>
        </w:rPr>
      </w:pPr>
      <w:r w:rsidRPr="006F77F4">
        <w:rPr>
          <w:rFonts w:cs="Arial"/>
          <w:b/>
          <w:color w:val="000000" w:themeColor="text1"/>
          <w:szCs w:val="20"/>
        </w:rPr>
        <w:t xml:space="preserve">BÁO CÁO ĐÁNH GIÁ AN TOÀN </w:t>
      </w:r>
      <w:r w:rsidRPr="006F77F4">
        <w:rPr>
          <w:rFonts w:cs="Arial"/>
          <w:b/>
          <w:color w:val="000000" w:themeColor="text1"/>
          <w:szCs w:val="20"/>
          <w:lang w:val="en-US"/>
        </w:rPr>
        <w:br/>
      </w:r>
      <w:r w:rsidRPr="006F77F4">
        <w:rPr>
          <w:rFonts w:cs="Arial"/>
          <w:b/>
          <w:color w:val="000000" w:themeColor="text1"/>
          <w:szCs w:val="20"/>
        </w:rPr>
        <w:t>(Sản xuất, chế biến chất phóng xạ)</w:t>
      </w:r>
    </w:p>
    <w:p w:rsidR="002051AF" w:rsidRPr="006F77F4" w:rsidRDefault="002051AF" w:rsidP="006F77F4">
      <w:pPr>
        <w:jc w:val="center"/>
        <w:rPr>
          <w:rFonts w:cs="Arial"/>
          <w:color w:val="000000" w:themeColor="text1"/>
          <w:szCs w:val="20"/>
          <w:lang w:val="en-US"/>
        </w:rPr>
      </w:pP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I. Tổ chức, cá nhân đề nghị cấp giấy phép</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1.</w:t>
      </w:r>
      <w:r w:rsidRPr="006F77F4">
        <w:rPr>
          <w:rFonts w:cs="Arial"/>
          <w:color w:val="000000" w:themeColor="text1"/>
          <w:szCs w:val="20"/>
        </w:rPr>
        <w:t xml:space="preserve"> </w:t>
      </w:r>
      <w:r w:rsidRPr="006F77F4">
        <w:rPr>
          <w:rFonts w:cs="Arial"/>
          <w:b/>
          <w:color w:val="000000" w:themeColor="text1"/>
          <w:szCs w:val="20"/>
        </w:rPr>
        <w:t>Thông tin về tổ chức, cá nhân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Tên tổ chức, cá nhân đề nghị cấp giấy phép:</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Địa chỉ trụ sở chính; địa chỉ liên lạc (nếu khác địa chỉ trụ sở chính):</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Số điện thoại; số fax; E-mail:</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Địa chỉ nơi tiến hành công việc bức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2.</w:t>
      </w:r>
      <w:r w:rsidRPr="006F77F4">
        <w:rPr>
          <w:rFonts w:cs="Arial"/>
          <w:color w:val="000000" w:themeColor="text1"/>
          <w:szCs w:val="20"/>
        </w:rPr>
        <w:t xml:space="preserve"> </w:t>
      </w:r>
      <w:r w:rsidRPr="006F77F4">
        <w:rPr>
          <w:rFonts w:cs="Arial"/>
          <w:b/>
          <w:color w:val="000000" w:themeColor="text1"/>
          <w:szCs w:val="20"/>
        </w:rPr>
        <w:t>Thông tin về người đứng đầu</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Họ tên: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Chức vụ:</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số điện thoại; số fax; E-mail:</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3.</w:t>
      </w:r>
      <w:r w:rsidRPr="006F77F4">
        <w:rPr>
          <w:rFonts w:cs="Arial"/>
          <w:color w:val="000000" w:themeColor="text1"/>
          <w:szCs w:val="20"/>
        </w:rPr>
        <w:t xml:space="preserve"> </w:t>
      </w:r>
      <w:r w:rsidRPr="006F77F4">
        <w:rPr>
          <w:rFonts w:cs="Arial"/>
          <w:b/>
          <w:color w:val="000000" w:themeColor="text1"/>
          <w:szCs w:val="20"/>
        </w:rPr>
        <w:t>Thông tin về người phụ trách an toàn bức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Họ tên: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số điện thoại; E-mail:</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Trình độ chuyên môn: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Chứng nhận đào tạo an toàn bức xạ (số giấy chứng nhận đào tạo an toàn bức xạ, nơi cấp và ngày cấp giấy chứng nhận):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Chứng chỉ nhân viên bức xạ (số chứng chỉ, nơi cấp, ngày cấp):</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II. Tổ chức quản lý</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1. Sơ đồ tổ chức và vị trí các phòng ban, đơn vị của cơ sở trực tiếp tiến hành công việc bức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2. Liệt kê các văn bản pháp luật liên quan được áp dụng làm căn cứ, bao gồm:</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Luật Năng lượng nguyên tử;</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3. Danh mục hồ sơ cần lưu giữ; biện pháp và phân công trách nhiệm lập, quản lý, lưu giữ và cập nhật hồ sơ liên quan.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III. Các biện pháp bảo đảm an toàn bức xạ, an ninh nguồn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1.</w:t>
      </w:r>
      <w:r w:rsidRPr="006F77F4">
        <w:rPr>
          <w:rFonts w:cs="Arial"/>
          <w:color w:val="000000" w:themeColor="text1"/>
          <w:szCs w:val="20"/>
        </w:rPr>
        <w:t xml:space="preserve"> </w:t>
      </w:r>
      <w:r w:rsidRPr="006F77F4">
        <w:rPr>
          <w:rFonts w:cs="Arial"/>
          <w:b/>
          <w:color w:val="000000" w:themeColor="text1"/>
          <w:szCs w:val="20"/>
        </w:rPr>
        <w:t>Mô tả công việc bức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Mô tả chi tiết quy trình sản xuất, chế biến chất phóng xạ từ khâu chuẩn bị, đến khâu sản xuất, chế biến và kết thúc công việc;</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Liệt kê tên, tính chất vật lý, tính chất hóa học, mục đích sử dụng và tổng hoạt độ dự kiến trong một năm của các chất phóng xạ được sản xuất, chế biến.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2.</w:t>
      </w:r>
      <w:r w:rsidRPr="006F77F4">
        <w:rPr>
          <w:rFonts w:cs="Arial"/>
          <w:color w:val="000000" w:themeColor="text1"/>
          <w:szCs w:val="20"/>
        </w:rPr>
        <w:t xml:space="preserve"> </w:t>
      </w:r>
      <w:r w:rsidRPr="006F77F4">
        <w:rPr>
          <w:rFonts w:cs="Arial"/>
          <w:b/>
          <w:color w:val="000000" w:themeColor="text1"/>
          <w:szCs w:val="20"/>
        </w:rPr>
        <w:t>Mô tả các biện pháp bảo vệ chống chiếu ngoài:</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Cách thức thiết lập khu vực kiểm soát, khu vực giám sát và biện pháp kiểm soát người ra vào các khu vực này (kiểm soát hành chính, sử dụng các rào chắn, biển cảnh báo, tín hiệu cảnh báo);</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Thuyết minh các biện pháp che chắn bức xạ, thiết kế của các phòng sản xuất, chế biến và bảo quản chất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Các trang thiết bị bảo hộ cá nhân và các dụng cụ để thao tác với nguồn phóng xạ (kẹp gắp nguồn, bình đựng nguồn...);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Thiết bị đo suất liều cầm tay, thiết bị theo dõi suất liều bức xạ lắp đặt cố định bên trong và bên ngoài phòng sản xuất, chế biến chất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Quy định về việc ghi nhật ký tiến hành công việc bức xạ, bảo dưỡng, sửa chữa.</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3.</w:t>
      </w:r>
      <w:r w:rsidRPr="006F77F4">
        <w:rPr>
          <w:rFonts w:cs="Arial"/>
          <w:color w:val="000000" w:themeColor="text1"/>
          <w:szCs w:val="20"/>
        </w:rPr>
        <w:t xml:space="preserve"> </w:t>
      </w:r>
      <w:r w:rsidRPr="006F77F4">
        <w:rPr>
          <w:rFonts w:cs="Arial"/>
          <w:b/>
          <w:color w:val="000000" w:themeColor="text1"/>
          <w:szCs w:val="20"/>
        </w:rPr>
        <w:t>Mô tả biện pháp bảo vệ chống chiếu trong</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Hệ thống kiểm soát nhiễm bẩn không khí;</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Thiết bị đo nhiễm bẩn phóng xạ bề mặt;</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Trang bị quần áo bảo hộ, găng tay, giày hoặc bao chân, mũ trùm đầu, khẩu trang cho nhân viên làm công việc bức xạ có khả năng gây nhiễm bẩn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Bố trí tại lối ra khu vực kiểm soát có khả năng gây nhiễm bẩn phóng xạ: Nhà tắm, nơi rửa tay, nơi lưu giữ vật dụng nhiễm bẩn phóng xạ và thiết bị để kiểm tra nhiễm bẩn cơ thể, quần áo, vật dụng mang ra khỏi khu vực;</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Buồng thao tác (hot cell) để tổng hợp, chế biến chất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Thuyết minh việc sử dụng vật liệu dễ tẩy xạ để sử dụng cho tường, sàn nhà và các bề mặt dễ nhiễm bẩn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4.</w:t>
      </w:r>
      <w:r w:rsidRPr="006F77F4">
        <w:rPr>
          <w:rFonts w:cs="Arial"/>
          <w:color w:val="000000" w:themeColor="text1"/>
          <w:szCs w:val="20"/>
        </w:rPr>
        <w:t xml:space="preserve"> </w:t>
      </w:r>
      <w:r w:rsidRPr="006F77F4">
        <w:rPr>
          <w:rFonts w:cs="Arial"/>
          <w:b/>
          <w:color w:val="000000" w:themeColor="text1"/>
          <w:szCs w:val="20"/>
        </w:rPr>
        <w:t>Mô tả biện pháp bảo đảm an ninh nguồn phóng xạ (áp dụng cho cơ sở sản xuất nguồn phóng xạ kín)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Phân loại nguồn phóng xạ theo Quy chuẩn kỹ thuật Quốc gia về phân nhóm nguồn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Phân loại nguồn phóng xạ theo nhóm an ninh quy định tại Phụ lục III của Nghị định này;</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Các biện pháp bảo đảm an ninh nguồn phóng xạ theo yêu cầu liên quan tại Phụ lục V của Nghị định này.</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5.</w:t>
      </w:r>
      <w:r w:rsidRPr="006F77F4">
        <w:rPr>
          <w:rFonts w:cs="Arial"/>
          <w:color w:val="000000" w:themeColor="text1"/>
          <w:szCs w:val="20"/>
        </w:rPr>
        <w:t xml:space="preserve"> </w:t>
      </w:r>
      <w:r w:rsidRPr="006F77F4">
        <w:rPr>
          <w:rFonts w:cs="Arial"/>
          <w:b/>
          <w:color w:val="000000" w:themeColor="text1"/>
          <w:szCs w:val="20"/>
        </w:rPr>
        <w:t>Mô tả biện pháp kiểm soát chất thải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Thuyết minh hệ thống thu gom, xử lý và lưu giữ chất thải phóng xạ, trong đó mô tả chi tiết về:</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Thùng thu gom, lưu giữ tạm thời chất thải phóng xạ rắn tại khu vực sản xuất, chế biến chất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Kho lưu giữ chất thải phóng xạ rắn phát sinh trong quá trình sản xuất, chế biến chất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Hệ thống thu gom, bể lưu giữ chất thải phóng xạ lỏng phát sinh trong quá trình sản xuất, chế biến chất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Kho lưu giữ chất thải phóng xạ rắn và bể lưu giữ chất thải phóng xạ lỏng phải được thiết kế phù hợp với lượng chất thải phóng xạ cần thu gom, thời gian lưu giữ dự kiến và bảo đảm an toàn bức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IV. Kiểm soát liều chiếu xạ nghề nghiệp và sức khỏe nhân viên bức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Nêu rõ quy định nội bộ về việc sử dụng liều kế cá nhân; tần suất đo, đánh giá liều chiếu xạ cá nhân; đơn vị cung cấp dịch vụ đo, đánh giá; cách thức lập và quản lý hồ sơ liều chiếu xạ cá nhân của nhân viên bức xạ; quy định về việc thông báo kết quả đánh giá liều chiếu xạ cá nhân cho nhân viên bức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Liệt kê danh sách nhân viên bức xạ được đo, đánh giá liều chiếu xạ cá nhân;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Nêu rõ quy định về kiểm tra sức khỏe khi tuyển dụng và kiểm tra sức khỏe định kỳ cho nhân viên bức xạ; tần suất kiểm tra.</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b/>
          <w:color w:val="000000" w:themeColor="text1"/>
          <w:szCs w:val="20"/>
        </w:rPr>
        <w:t>V.</w:t>
      </w:r>
      <w:r w:rsidRPr="006F77F4">
        <w:rPr>
          <w:rFonts w:cs="Arial"/>
          <w:color w:val="000000" w:themeColor="text1"/>
          <w:szCs w:val="20"/>
        </w:rPr>
        <w:t xml:space="preserve"> </w:t>
      </w:r>
      <w:r w:rsidRPr="006F77F4">
        <w:rPr>
          <w:rFonts w:cs="Arial"/>
          <w:b/>
          <w:color w:val="000000" w:themeColor="text1"/>
          <w:szCs w:val="20"/>
        </w:rPr>
        <w:t>Các tài liệu kèm theo</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Sơ đồ mặt bằng tổng thể khu vực nơi tiến hành sản xuất, chế biến chất phóng xạ; bản vẽ thiết kế phòng sản xuất, chế biến chất phóng xạ và nơi lưu giữ chất phóng xạ, chất thải phóng xạ;</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Bản sao hợp đồng dịch vụ đo liều chiếu xạ cá nhân;</w:t>
      </w:r>
    </w:p>
    <w:p w:rsidR="002051AF" w:rsidRPr="006F77F4" w:rsidRDefault="002051AF" w:rsidP="007768E9">
      <w:pPr>
        <w:adjustRightInd w:val="0"/>
        <w:snapToGrid w:val="0"/>
        <w:spacing w:after="120"/>
        <w:ind w:firstLine="720"/>
        <w:rPr>
          <w:rFonts w:cs="Arial"/>
          <w:color w:val="000000" w:themeColor="text1"/>
          <w:szCs w:val="20"/>
        </w:rPr>
      </w:pPr>
      <w:r w:rsidRPr="006F77F4">
        <w:rPr>
          <w:rFonts w:cs="Arial"/>
          <w:color w:val="000000" w:themeColor="text1"/>
          <w:szCs w:val="20"/>
        </w:rPr>
        <w:t>- Nội quy an toàn bức xạ; quy trình sản xuất, chế biến chất phóng xạ; quy trình quản lý chất thải phóng xạ.</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1AF"/>
    <w:rsid w:val="0008006B"/>
    <w:rsid w:val="00095A1D"/>
    <w:rsid w:val="000A0C79"/>
    <w:rsid w:val="000D5E87"/>
    <w:rsid w:val="00133017"/>
    <w:rsid w:val="001E075F"/>
    <w:rsid w:val="00200E50"/>
    <w:rsid w:val="002051AF"/>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178D66-D134-447C-99FB-8C4B7CBE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51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51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051A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51A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051A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051A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051A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051A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051A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1A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51A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51A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51A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051A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051A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051A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051A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051A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051A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51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51A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51A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051A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051AF"/>
    <w:rPr>
      <w:i/>
      <w:iCs/>
      <w:color w:val="404040" w:themeColor="text1" w:themeTint="BF"/>
    </w:rPr>
  </w:style>
  <w:style w:type="paragraph" w:styleId="ListParagraph">
    <w:name w:val="List Paragraph"/>
    <w:basedOn w:val="Normal"/>
    <w:uiPriority w:val="34"/>
    <w:qFormat/>
    <w:rsid w:val="002051AF"/>
    <w:pPr>
      <w:ind w:left="720"/>
      <w:contextualSpacing/>
    </w:pPr>
  </w:style>
  <w:style w:type="character" w:styleId="IntenseEmphasis">
    <w:name w:val="Intense Emphasis"/>
    <w:basedOn w:val="DefaultParagraphFont"/>
    <w:uiPriority w:val="21"/>
    <w:qFormat/>
    <w:rsid w:val="002051AF"/>
    <w:rPr>
      <w:i/>
      <w:iCs/>
      <w:color w:val="2F5496" w:themeColor="accent1" w:themeShade="BF"/>
    </w:rPr>
  </w:style>
  <w:style w:type="paragraph" w:styleId="IntenseQuote">
    <w:name w:val="Intense Quote"/>
    <w:basedOn w:val="Normal"/>
    <w:next w:val="Normal"/>
    <w:link w:val="IntenseQuoteChar"/>
    <w:uiPriority w:val="30"/>
    <w:qFormat/>
    <w:rsid w:val="002051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51AF"/>
    <w:rPr>
      <w:i/>
      <w:iCs/>
      <w:color w:val="2F5496" w:themeColor="accent1" w:themeShade="BF"/>
    </w:rPr>
  </w:style>
  <w:style w:type="character" w:styleId="IntenseReference">
    <w:name w:val="Intense Reference"/>
    <w:basedOn w:val="DefaultParagraphFont"/>
    <w:uiPriority w:val="32"/>
    <w:qFormat/>
    <w:rsid w:val="002051A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761</Words>
  <Characters>4341</Characters>
  <Application>Microsoft Office Word</Application>
  <DocSecurity>0</DocSecurity>
  <Lines>36</Lines>
  <Paragraphs>10</Paragraphs>
  <ScaleCrop>false</ScaleCrop>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